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480"/>
        <w:jc w:val="start"/>
        <w:rPr/>
      </w:pPr>
      <w:r>
        <w:rPr/>
        <w:t>E. F. Haven</w:t>
      </w:r>
    </w:p>
    <w:p>
      <w:pPr>
        <w:pStyle w:val="Normal"/>
        <w:bidi w:val="0"/>
        <w:spacing w:lineRule="auto" w:line="480"/>
        <w:jc w:val="start"/>
        <w:rPr/>
      </w:pPr>
      <w:r>
        <w:rPr/>
        <w:t>8th Derrida Today Conference</w:t>
      </w:r>
    </w:p>
    <w:p>
      <w:pPr>
        <w:pStyle w:val="Normal"/>
        <w:bidi w:val="0"/>
        <w:spacing w:lineRule="auto" w:line="480"/>
        <w:jc w:val="start"/>
        <w:rPr/>
      </w:pPr>
      <w:r>
        <w:rPr/>
        <w:t>June 10</w:t>
      </w:r>
      <w:r>
        <w:rPr>
          <w:vertAlign w:val="superscript"/>
        </w:rPr>
        <w:t>th</w:t>
      </w:r>
      <w:r>
        <w:rPr/>
        <w:t xml:space="preserve"> – 14</w:t>
      </w:r>
      <w:r>
        <w:rPr>
          <w:vertAlign w:val="superscript"/>
        </w:rPr>
        <w:t>th</w:t>
      </w:r>
      <w:r>
        <w:rPr/>
        <w:t>, 2024</w:t>
      </w:r>
    </w:p>
    <w:p>
      <w:pPr>
        <w:pStyle w:val="Normal"/>
        <w:bidi w:val="0"/>
        <w:spacing w:lineRule="auto" w:line="480"/>
        <w:jc w:val="center"/>
        <w:rPr/>
      </w:pPr>
      <w:r>
        <w:rPr/>
        <w:t>The Unspoken Self</w:t>
      </w:r>
    </w:p>
    <w:p>
      <w:pPr>
        <w:pStyle w:val="Normal"/>
        <w:bidi w:val="0"/>
        <w:spacing w:lineRule="auto" w:line="480"/>
        <w:jc w:val="center"/>
        <w:rPr/>
      </w:pPr>
      <w:r>
        <w:rPr/>
        <w:t>Kant’s Paralogisms and the Apophatic Turn</w:t>
      </w:r>
    </w:p>
    <w:p>
      <w:pPr>
        <w:pStyle w:val="Normal"/>
        <w:bidi w:val="0"/>
        <w:spacing w:lineRule="auto" w:line="480"/>
        <w:jc w:val="start"/>
        <w:rPr/>
      </w:pPr>
      <w:r>
        <w:rPr/>
        <w:tab/>
        <w:t xml:space="preserve">Immanuel Kant changed philosophy forever with a Copernican Turn in </w:t>
      </w:r>
      <w:r>
        <w:rPr>
          <w:i/>
          <w:iCs/>
        </w:rPr>
        <w:t xml:space="preserve">The Critique of Pure Reason. </w:t>
      </w:r>
      <w:r>
        <w:rPr>
          <w:i w:val="false"/>
          <w:iCs w:val="false"/>
        </w:rPr>
        <w:t xml:space="preserve">He turned from the representational model, where objects fund perception, to perception funding objects. This turn ended the line of inquiry in the Enlightenment by introducing a new dimension to knowledge; in turn, it laid the path for phenomenology. However, this reading of Kant and his role in the trajectory of philosophy runs aground in the section of the text </w:t>
      </w:r>
      <w:r>
        <w:rPr>
          <w:i/>
          <w:iCs/>
        </w:rPr>
        <w:t xml:space="preserve">Paralogisms of Pure Reason. </w:t>
      </w:r>
      <w:r>
        <w:rPr>
          <w:i w:val="false"/>
          <w:iCs w:val="false"/>
        </w:rPr>
        <w:t xml:space="preserve">Authors struggle to make sense of this section in line with the Copernican Turn. Karl Ameriks wrote in </w:t>
      </w:r>
      <w:r>
        <w:rPr>
          <w:i/>
          <w:iCs/>
        </w:rPr>
        <w:t>Kant’s Theory of Mind: An Analysis of the Paralogisms of Pure Reason</w:t>
      </w:r>
      <w:r>
        <w:rPr>
          <w:i w:val="false"/>
          <w:iCs w:val="false"/>
        </w:rPr>
        <w:t>:</w:t>
      </w:r>
    </w:p>
    <w:p>
      <w:pPr>
        <w:pStyle w:val="Normal"/>
        <w:bidi w:val="0"/>
        <w:spacing w:lineRule="auto" w:line="480"/>
        <w:ind w:hanging="0" w:start="709"/>
        <w:jc w:val="start"/>
        <w:rPr>
          <w:i w:val="false"/>
          <w:i w:val="false"/>
          <w:iCs w:val="false"/>
        </w:rPr>
      </w:pPr>
      <w:r>
        <w:rPr>
          <w:i w:val="false"/>
          <w:iCs w:val="false"/>
        </w:rPr>
        <w:t>"A board consensus may still hold to the effect that the Paralogisms provides an antidote to naive Cartesianism, but beyond that, there is surprisingly little agreement on the reconstruction of what Kant literally argued, let alone the evaluation of what he ultimately meant." (Ameriks 2)</w:t>
      </w:r>
    </w:p>
    <w:p>
      <w:pPr>
        <w:pStyle w:val="Normal"/>
        <w:bidi w:val="0"/>
        <w:spacing w:lineRule="auto" w:line="480"/>
        <w:jc w:val="start"/>
        <w:rPr/>
      </w:pPr>
      <w:r>
        <w:rPr>
          <w:i w:val="false"/>
          <w:iCs w:val="false"/>
        </w:rPr>
        <w:tab/>
        <w:t xml:space="preserve">As a result of this confusion, few take on this section of the text. Some, like Matthew C Altman in his </w:t>
      </w:r>
      <w:r>
        <w:rPr>
          <w:i/>
          <w:iCs/>
        </w:rPr>
        <w:t>A Companion to Kant’s Critique of Pure Reason</w:t>
      </w:r>
      <w:r>
        <w:rPr>
          <w:i w:val="false"/>
          <w:iCs w:val="false"/>
        </w:rPr>
        <w:t>, only provide a cursory explanation (Altman 170-171). Others dismiss this section because Kant himself struggled with it, significantly altering the Paralogisms in the second edition</w:t>
      </w:r>
      <w:r>
        <w:rPr>
          <w:b w:val="false"/>
          <w:bCs w:val="false"/>
          <w:i w:val="false"/>
          <w:iCs w:val="false"/>
        </w:rPr>
        <w:t>.</w:t>
      </w:r>
    </w:p>
    <w:p>
      <w:pPr>
        <w:pStyle w:val="Normal"/>
        <w:bidi w:val="0"/>
        <w:spacing w:lineRule="auto" w:line="480"/>
        <w:jc w:val="start"/>
        <w:rPr/>
      </w:pPr>
      <w:r>
        <w:rPr>
          <w:i w:val="false"/>
          <w:iCs w:val="false"/>
        </w:rPr>
        <w:tab/>
        <w:t>We should take more time before disregarding this section. Kant wanted to rewrite it because he felt it was a significant chapter. Understanding the phenomenology of self would only be possible with this section, which served as a foundation for Hegel and others. What did Kant want us to understand? Might understanding this section require uncoupling Kant from the history of philosophy and the Copernican Turn? I argue that we lose Immanuel Kant in the paralogisms because he makes a second apophatic turn towards an unspoken self.</w:t>
      </w:r>
    </w:p>
    <w:p>
      <w:pPr>
        <w:pStyle w:val="Normal"/>
        <w:bidi w:val="0"/>
        <w:spacing w:lineRule="auto" w:line="480"/>
        <w:jc w:val="start"/>
        <w:rPr>
          <w:i w:val="false"/>
          <w:i w:val="false"/>
          <w:iCs w:val="false"/>
        </w:rPr>
      </w:pPr>
      <w:r>
        <w:rPr>
          <w:i w:val="false"/>
          <w:iCs w:val="false"/>
        </w:rPr>
        <w:tab/>
        <w:t>To follow the apophatic turn, we must first lay out the analytic paradox that creates this confusion. This will show the failure of phenomenology in interpreting the self to resolve the paradox. From there, we will return to examine how Kant tells us this paradox does not need resolution, but instead, he uses it to make a second turn away from logocentrism, pointing in an impossible direction. Only then can we follow Kant's second turn to examine the trace of the 'I' and finally provide an interpretation of Kant's 'I' as an unfulfillable promise, an unspoken self.</w:t>
      </w:r>
    </w:p>
    <w:p>
      <w:pPr>
        <w:pStyle w:val="Normal"/>
        <w:bidi w:val="0"/>
        <w:spacing w:lineRule="auto" w:line="480"/>
        <w:jc w:val="start"/>
        <w:rPr>
          <w:i w:val="false"/>
          <w:i w:val="false"/>
          <w:iCs w:val="false"/>
        </w:rPr>
      </w:pPr>
      <w:r>
        <w:rPr>
          <w:i w:val="false"/>
          <w:iCs w:val="false"/>
        </w:rPr>
        <w:tab/>
        <w:t>Given the limited time, I will provide a cursory overview of my argument and limit this paper to the first paralogism of substance. While all the paralogisms warrant reinterpretation, the first provides the steps that can be repeated for the others. This paper will attempt to follow Kant's twisting steps but only use Kantian terminology if necessary to avoid being caught in the logic.</w:t>
      </w:r>
    </w:p>
    <w:p>
      <w:pPr>
        <w:pStyle w:val="Normal"/>
        <w:bidi w:val="0"/>
        <w:spacing w:lineRule="auto" w:line="480"/>
        <w:jc w:val="start"/>
        <w:rPr/>
      </w:pPr>
      <w:r>
        <w:rPr>
          <w:i w:val="false"/>
          <w:iCs w:val="false"/>
        </w:rPr>
        <w:tab/>
        <w:t xml:space="preserve">Analytically, the first paralogism generates a logical paradox. In </w:t>
      </w:r>
      <w:r>
        <w:rPr>
          <w:i/>
          <w:iCs/>
        </w:rPr>
        <w:t xml:space="preserve">Paralogisms of Pure Reason, </w:t>
      </w:r>
      <w:r>
        <w:rPr>
          <w:i w:val="false"/>
          <w:iCs w:val="false"/>
        </w:rPr>
        <w:t xml:space="preserve">Kant's methodological shift breaks from the logo-centrism in the rest of the text. He turns to transcendental paralogisms, which are faulty syllogisms masquerading as valid. By his definition, "A transcendental paralogism … will carry with it an illusion that is unavoidable although not unresolvable" (A 341). When dealing with the self, he seeks to demonstrate what we cannot say about the 'I', and how our pure reason leads us astray rather than use </w:t>
      </w:r>
      <w:r>
        <w:rPr>
          <w:i/>
          <w:iCs/>
        </w:rPr>
        <w:t xml:space="preserve">a prior </w:t>
      </w:r>
      <w:r>
        <w:rPr>
          <w:i w:val="false"/>
          <w:iCs w:val="false"/>
        </w:rPr>
        <w:t xml:space="preserve">knowledge as in the rest of </w:t>
      </w:r>
      <w:r>
        <w:rPr>
          <w:i/>
          <w:iCs/>
        </w:rPr>
        <w:t>The Critique of Prue Reason</w:t>
      </w:r>
      <w:r>
        <w:rPr>
          <w:i w:val="false"/>
          <w:iCs w:val="false"/>
        </w:rPr>
        <w:t>. However, This move is not anti-rationalist. Prominent voices like Karl Schafer and Ameriks will say, "The anti-rationalist stance that one expects from Kant's program fails to be adequately supported by what Kant actually says …" (Ameriks 74) and "I will claim that a kind of rationalism remains even when this latter topic is taken up in the second paralogism." (Ameriks 26).</w:t>
      </w:r>
    </w:p>
    <w:p>
      <w:pPr>
        <w:pStyle w:val="Normal"/>
        <w:bidi w:val="0"/>
        <w:spacing w:lineRule="auto" w:line="480"/>
        <w:jc w:val="start"/>
        <w:rPr/>
      </w:pPr>
      <w:r>
        <w:rPr/>
        <w:tab/>
      </w:r>
      <w:r>
        <w:rPr>
          <w:i w:val="false"/>
          <w:iCs w:val="false"/>
        </w:rPr>
        <w:t>The dance starts with the logic of the syllogism, which presents an illusion of validity. The First paralogism addresses the substantiality of the soul. It follows as a matter of logical necessity from this syllogism that “... I, as thinking being (soul), am substance." (A348), supporting a naive Cartesianism, with the 'I think' necessitating a substance.</w:t>
      </w:r>
    </w:p>
    <w:p>
      <w:pPr>
        <w:pStyle w:val="Normal"/>
        <w:bidi w:val="0"/>
        <w:spacing w:lineRule="auto" w:line="480"/>
        <w:jc w:val="start"/>
        <w:rPr/>
      </w:pPr>
      <w:r>
        <w:rPr>
          <w:i w:val="false"/>
          <w:iCs w:val="false"/>
        </w:rPr>
        <w:tab/>
        <w:t xml:space="preserve">Kant turns this syllogism, revealing a paralogism. He rejects this inference as a fallacy of equivocation (A341). He claims two uses of the 'I', two falsely equated subjects. Kant writes, “For the constant </w:t>
      </w:r>
      <w:r>
        <w:rPr>
          <w:i/>
          <w:iCs/>
        </w:rPr>
        <w:t>logical subject of thought</w:t>
      </w:r>
      <w:r>
        <w:rPr>
          <w:i w:val="false"/>
          <w:iCs w:val="false"/>
        </w:rPr>
        <w:t xml:space="preserve"> is passed off by it as the cognition of the </w:t>
      </w:r>
      <w:r>
        <w:rPr>
          <w:i/>
          <w:iCs/>
        </w:rPr>
        <w:t>real subject of the inherence of thought</w:t>
      </w:r>
      <w:r>
        <w:rPr>
          <w:i w:val="false"/>
          <w:iCs w:val="false"/>
        </w:rPr>
        <w:t>” [Italics Add] (A350).</w:t>
      </w:r>
    </w:p>
    <w:p>
      <w:pPr>
        <w:pStyle w:val="Normal"/>
        <w:bidi w:val="0"/>
        <w:spacing w:lineRule="auto" w:line="480"/>
        <w:jc w:val="start"/>
        <w:rPr/>
      </w:pPr>
      <w:r>
        <w:rPr>
          <w:i w:val="false"/>
          <w:iCs w:val="false"/>
        </w:rPr>
        <w:tab/>
        <w:t>This creates a separation between the empirically observable subject and the transcendental subject. Consider the statement, "I am me." The 'me' as an object has observable properties and qualities. The 'I' or absolute subject, which must remain absolutely in the position of the subject, can never become an object, such as the statement "I am I." Since it will never become an object, it is unobservable, always retreating from observation. As Kant states, "With this real subject, we are not, and cannot be, in the least acquainted." (A348)</w:t>
      </w:r>
      <w:r>
        <w:rPr/>
        <w:t xml:space="preserve"> Thus, we cannot say "I am" a substance.</w:t>
      </w:r>
    </w:p>
    <w:p>
      <w:pPr>
        <w:pStyle w:val="Normal"/>
        <w:bidi w:val="0"/>
        <w:spacing w:lineRule="auto" w:line="480"/>
        <w:jc w:val="start"/>
        <w:rPr/>
      </w:pPr>
      <w:r>
        <w:rPr/>
        <w:tab/>
        <w:t>It seems this argument works well if we accept the thesis of the two 'I's (I-subject and I-object), and so despite Kant's claim, the reason given does not make a paralogism. A fallacy of false equivocation might make the argument unsound but does not make it invalid. Ameriks writes, "… there is nothing demonstrably invalid with the argument Kant cites, and he even says that its conclusion may 'quite well be allowed to stand (A350)" (Ameriks 67). How could Kant see the argument as an invalid paralogism and allow it to stand?</w:t>
      </w:r>
    </w:p>
    <w:p>
      <w:pPr>
        <w:pStyle w:val="Normal"/>
        <w:bidi w:val="0"/>
        <w:spacing w:lineRule="auto" w:line="480"/>
        <w:jc w:val="start"/>
        <w:rPr/>
      </w:pPr>
      <w:r>
        <w:rPr/>
        <w:tab/>
        <w:t xml:space="preserve">We must take another turn in the text when our analysis becomes an evaluation. The question necessitates a turn from understanding the subject to understanding what it would mean to know the subject. Luca Forgione writes in </w:t>
      </w:r>
      <w:r>
        <w:rPr>
          <w:i/>
          <w:iCs/>
        </w:rPr>
        <w:t xml:space="preserve">Kant and The Problem of Self-Knowledge, </w:t>
      </w:r>
      <w:r>
        <w:rPr/>
        <w:t>“All this mirrors Kant’s ‘Copernican turn’: In the transcendental approach, the first-order discussion of objects is replaced by a second-order discussion of the concept of an object and its conditions of representation.” (Problem 113)</w:t>
      </w:r>
    </w:p>
    <w:p>
      <w:pPr>
        <w:pStyle w:val="Normal"/>
        <w:bidi w:val="0"/>
        <w:spacing w:lineRule="auto" w:line="480"/>
        <w:ind w:hanging="0" w:start="0"/>
        <w:jc w:val="start"/>
        <w:rPr/>
      </w:pPr>
      <w:r>
        <w:rPr/>
        <w:tab/>
        <w:t xml:space="preserve"> Following the Copernican turn, it is here that we run into the true paradox of the paralogism. Here, we need to find Kant's logical track. This paradox is expressed differently by different philosophers, but Kant writes,</w:t>
      </w:r>
    </w:p>
    <w:p>
      <w:pPr>
        <w:pStyle w:val="Normal"/>
        <w:bidi w:val="0"/>
        <w:spacing w:lineRule="auto" w:line="480"/>
        <w:ind w:hanging="0" w:start="709"/>
        <w:jc w:val="start"/>
        <w:rPr/>
      </w:pPr>
      <w:r>
        <w:rPr/>
        <w:t>"The I think must be able to accompany all my representations; for otherwise something would be represented in me that could not be thought at all, which is as much as to say that the representation would either be impossible or else at least would be nothing for me.” (B131)</w:t>
      </w:r>
    </w:p>
    <w:p>
      <w:pPr>
        <w:pStyle w:val="Normal"/>
        <w:bidi w:val="0"/>
        <w:spacing w:lineRule="auto" w:line="480"/>
        <w:ind w:hanging="0" w:start="0"/>
        <w:jc w:val="start"/>
        <w:rPr/>
      </w:pPr>
      <w:r>
        <w:rPr/>
        <w:tab/>
        <w:t>The 'I' is not nothing, so it would seem an impossibility. This impossibility arises as a paradox asking, how can I be one unified 'I' and two separate 'I's? When we take the Copernican turn to the second order, the question becomes, how can I know and not know myself? Kant seems to see this paradox when he writes,</w:t>
      </w:r>
    </w:p>
    <w:p>
      <w:pPr>
        <w:pStyle w:val="Normal"/>
        <w:bidi w:val="0"/>
        <w:spacing w:lineRule="auto" w:line="480"/>
        <w:ind w:hanging="0" w:start="709"/>
        <w:jc w:val="start"/>
        <w:rPr/>
      </w:pPr>
      <w:r>
        <w:rPr/>
        <w:t>The subject of the categories cannot by thinking the categories [i.e. applying them to objects] acquire a concept of itself as an object of the categories. For in order to think them, its pure self-consciousness, which is what was to be explained, must itself be presupposed. (B422)</w:t>
      </w:r>
    </w:p>
    <w:p>
      <w:pPr>
        <w:pStyle w:val="Normal"/>
        <w:bidi w:val="0"/>
        <w:spacing w:lineRule="auto" w:line="480"/>
        <w:ind w:hanging="0" w:start="0"/>
        <w:jc w:val="start"/>
        <w:rPr/>
      </w:pPr>
      <w:r>
        <w:rPr/>
        <w:tab/>
        <w:t xml:space="preserve">Kant shows us that each must come before the other. In order to have a concept of the 'I', one must already have a concept of the 'I'. The "I" is known to us through the manifold of apperception and is always retreating from our perception. Kant's logic should lead us to a unified idea of the 'I', but Kant cannot give us one. As Forgione puts it, "[This] should lead to the conclusion that the representation I is a singular concept; however, the above-mentioned simplicity of I established by Kant is precisely antipodal to the definition of a 'singular concept,' (Problem 115) Thus, we run into a paradox when we follow Kant's logic in the paralogism. The paradox is not the paralogism itself but rather the implication of the argument when we take it to the second-order question of self-consciousness. No wonder many have chosen to forgo this section altogether.  </w:t>
      </w:r>
    </w:p>
    <w:p>
      <w:pPr>
        <w:pStyle w:val="Normal"/>
        <w:bidi w:val="0"/>
        <w:spacing w:lineRule="auto" w:line="480"/>
        <w:jc w:val="start"/>
        <w:rPr>
          <w:b w:val="false"/>
          <w:bCs w:val="false"/>
        </w:rPr>
      </w:pPr>
      <w:r>
        <w:rPr>
          <w:b w:val="false"/>
          <w:bCs w:val="false"/>
        </w:rPr>
        <w:tab/>
        <w:t>It would be easy to ignore this paradox if it were not for the historical implications of the paralogisms. Kant's Copernican turn is credited as the bridge to modern philosophy, primarily setting the roots for phenomenology. In order to further our understanding of the paradox, it seems necessary to see how philosophers seek a resolution of the paradox by turning it into a dialectic of the self, presented by Hegel, and then the fallout in phenomenology, if only briefly. This will allow us to understand better a twofold critique, which this paper will use to set up an alternative reading of the first paralogism.</w:t>
      </w:r>
    </w:p>
    <w:p>
      <w:pPr>
        <w:pStyle w:val="Normal"/>
        <w:bidi w:val="0"/>
        <w:spacing w:lineRule="auto" w:line="480"/>
        <w:ind w:hanging="0" w:start="0"/>
        <w:jc w:val="start"/>
        <w:rPr/>
      </w:pPr>
      <w:r>
        <w:rPr/>
        <w:tab/>
        <w:t xml:space="preserve">From the onset, the </w:t>
      </w:r>
      <w:r>
        <w:rPr>
          <w:i/>
          <w:iCs/>
        </w:rPr>
        <w:t>Critique of Pure Reason</w:t>
      </w:r>
      <w:r>
        <w:rPr/>
        <w:t xml:space="preserve"> has been read as having phenomenalist intentions. Feder and Grave published the first review of the text</w:t>
      </w:r>
      <w:r>
        <w:rPr>
          <w:i/>
          <w:iCs/>
        </w:rPr>
        <w:t xml:space="preserve"> </w:t>
      </w:r>
      <w:r>
        <w:rPr>
          <w:i w:val="false"/>
          <w:iCs w:val="false"/>
        </w:rPr>
        <w:t>in 1782</w:t>
      </w:r>
      <w:r>
        <w:rPr>
          <w:i/>
          <w:iCs/>
        </w:rPr>
        <w:t xml:space="preserve">. </w:t>
      </w:r>
      <w:r>
        <w:rPr>
          <w:i w:val="false"/>
          <w:iCs w:val="false"/>
        </w:rPr>
        <w:t>In it, they</w:t>
      </w:r>
      <w:r>
        <w:rPr>
          <w:i/>
          <w:iCs/>
        </w:rPr>
        <w:t xml:space="preserve"> “</w:t>
      </w:r>
      <w:r>
        <w:rPr/>
        <w:t>accuses Kant of holding a basically Berkeleian phenomenalist concept of objects in space,” Stang says, and continues, “The assumption that Kant is a subjectivist about appearances is a major impetus in the development of German Idealism.” (Stang 11)</w:t>
      </w:r>
    </w:p>
    <w:p>
      <w:pPr>
        <w:pStyle w:val="Normal"/>
        <w:bidi w:val="0"/>
        <w:spacing w:lineRule="auto" w:line="480"/>
        <w:ind w:hanging="0" w:start="0"/>
        <w:jc w:val="start"/>
        <w:rPr/>
      </w:pPr>
      <w:r>
        <w:rPr/>
        <w:tab/>
        <w:t xml:space="preserve">Hegel, who took up the mantle of German Idealism only a generation later, intended to create a new idea of self-consciousness while resolving the paradox posited by the first paralogism. This paradox of the ‘I’s perceptibility is his first concern in the </w:t>
      </w:r>
      <w:r>
        <w:rPr>
          <w:b w:val="false"/>
          <w:bCs w:val="false"/>
        </w:rPr>
        <w:t xml:space="preserve">opening chapter of Hegel’s </w:t>
      </w:r>
      <w:r>
        <w:rPr>
          <w:b w:val="false"/>
          <w:bCs w:val="false"/>
          <w:i/>
          <w:iCs/>
        </w:rPr>
        <w:t>Phenomenology of Spirit</w:t>
      </w:r>
      <w:r>
        <w:rPr>
          <w:b w:val="false"/>
          <w:bCs w:val="false"/>
        </w:rPr>
        <w:t xml:space="preserve"> entitled "Consciousness." He seeks to put the two 'I's into a relationship with each other. On the first page, Hegel writes, “I have this certainty through something else, viz. the thing; and it, similarly, is in sense-certainty through something else viz. through the 'I.'" (Hegel 59) Thus binding the 'I' and 'I'-object together in an interrelationship. Setting up what I will call the retreat of the 'I'. In Hegel's account of the retreat of the 'I', we can never directly know ourselves because we can not perceive the 'I'; whenever we seek to see the 'I', it retreats, but it leaves a negation in the world which we can observe. Hence, we know ourselves indirectly through the ever-changing impressions of ourselves.</w:t>
      </w:r>
    </w:p>
    <w:p>
      <w:pPr>
        <w:pStyle w:val="Normal"/>
        <w:bidi w:val="0"/>
        <w:spacing w:lineRule="auto" w:line="480"/>
        <w:ind w:hanging="0" w:start="0"/>
        <w:jc w:val="start"/>
        <w:rPr>
          <w:b w:val="false"/>
          <w:bCs w:val="false"/>
        </w:rPr>
      </w:pPr>
      <w:r>
        <w:rPr>
          <w:b w:val="false"/>
          <w:bCs w:val="false"/>
        </w:rPr>
        <w:tab/>
        <w:t>Hegel's second chapter establishes the understanding of self-consciousness through the other. We find ourselves in the acknowledgement of others. He writes, "Self-consciousness exists in and for itself when, and by the fact that it so exists for another; this is, it exists only in being acknowledged." (Hegel 111) Thus, a dialectic of the self is born as we negotiate with the world and others, learning through our actions who we are, but never immediately. The self is nothing but the myriad of shifting gestalt.</w:t>
      </w:r>
    </w:p>
    <w:p>
      <w:pPr>
        <w:pStyle w:val="Normal"/>
        <w:bidi w:val="0"/>
        <w:spacing w:lineRule="auto" w:line="480"/>
        <w:ind w:hanging="0" w:start="0"/>
        <w:jc w:val="start"/>
        <w:rPr>
          <w:b w:val="false"/>
          <w:bCs w:val="false"/>
        </w:rPr>
      </w:pPr>
      <w:r>
        <w:rPr>
          <w:b w:val="false"/>
          <w:bCs w:val="false"/>
        </w:rPr>
        <w:tab/>
        <w:t>In keeping with the first paralogism, Hegel shows this dialectic will never create a unified idea of self; it always already contains the retreat of the 'I' within it. He writes, "But this unity is, as we have seen, just as much its repulsion from itself … the former is the unity for which the infinite unity of the difference is;" (Hegel 106)</w:t>
      </w:r>
    </w:p>
    <w:p>
      <w:pPr>
        <w:pStyle w:val="Normal"/>
        <w:bidi w:val="0"/>
        <w:spacing w:lineRule="auto" w:line="480"/>
        <w:ind w:hanging="0" w:start="0"/>
        <w:jc w:val="start"/>
        <w:rPr>
          <w:b w:val="false"/>
          <w:bCs w:val="false"/>
        </w:rPr>
      </w:pPr>
      <w:r>
        <w:rPr>
          <w:b w:val="false"/>
          <w:bCs w:val="false"/>
        </w:rPr>
        <w:tab/>
        <w:t>The solution then is in the verb. When Hegel embraces the Copernican turns of Kant's paralogisms as dialectic dance, the self moves from a fixed object to an action. In the statement "I am me'" what links the 'I' to the 'me' is the "am"; thus, the phenomenological obsession with Being starts. Both Willford Sellars and Robert Pippin see this in the paradox of the first paralogism, noting the importance of the following passage from Kant, "I exist as an intelligence which is conscious solely of its power of combination" (B158–159), of "the activity of the self" (B68) (Sellars, 1970–1; Pippin, 1987). Philosophy moved away from the paradox to the activity generated by the paradox, focusing on the actions of the self.</w:t>
      </w:r>
    </w:p>
    <w:p>
      <w:pPr>
        <w:pStyle w:val="Normal"/>
        <w:bidi w:val="0"/>
        <w:spacing w:lineRule="auto" w:line="480"/>
        <w:ind w:hanging="0" w:start="0"/>
        <w:jc w:val="start"/>
        <w:rPr/>
      </w:pPr>
      <w:r>
        <w:rPr>
          <w:b/>
          <w:bCs/>
        </w:rPr>
        <w:tab/>
      </w:r>
      <w:r>
        <w:rPr>
          <w:b w:val="false"/>
          <w:bCs w:val="false"/>
        </w:rPr>
        <w:t xml:space="preserve">One </w:t>
      </w:r>
      <w:r>
        <w:rPr/>
        <w:t>could write a paper on the critiques of the phenomenological foundation of self-consciousness. Instead, I am highlighting two critiques, one logical and one transcendental, which will help fund a new reading of Kant.</w:t>
      </w:r>
    </w:p>
    <w:p>
      <w:pPr>
        <w:pStyle w:val="Normal"/>
        <w:bidi w:val="0"/>
        <w:spacing w:lineRule="auto" w:line="480"/>
        <w:ind w:hanging="0" w:start="0"/>
        <w:jc w:val="start"/>
        <w:rPr>
          <w:b w:val="false"/>
          <w:bCs w:val="false"/>
        </w:rPr>
      </w:pPr>
      <w:r>
        <w:rPr>
          <w:b w:val="false"/>
          <w:bCs w:val="false"/>
        </w:rPr>
        <w:tab/>
        <w:t>For the first, phenomenology does not resolve the paradox but moves us around it because it traps the 'I' in both a position of retreat and origin. Forgione captures this writing, "The ensuing circularity—the representation I think is the act of apperception producing the representation I think—is "a hasty way of stressing the spontaneity and underivedness of the I think." (Problem 107) or as Kant puts it, "This subject is cognized only through the thoughts that are its predicate, and apart from them we can never have the least concept of it; hence we revolve around it in a constant circle, since in order to make any judgment regarding it we must always already make use of its presentations." (A346/B404) This dance between predicate and presentation is not the 'I' but a byproduct of self-consciousness. According to Kant, the ‘I’ is pure spontaneity or pure imagination, not a responding to the world. In one of the most important quotes of the text, Kant writes, "But this representation [I think] is an act of spontaneity, i.e., it cannot be regarded as belonging to sensibility.” (B132)</w:t>
      </w:r>
    </w:p>
    <w:p>
      <w:pPr>
        <w:pStyle w:val="Normal"/>
        <w:bidi w:val="0"/>
        <w:spacing w:lineRule="auto" w:line="480"/>
        <w:ind w:hanging="0" w:start="0"/>
        <w:jc w:val="start"/>
        <w:rPr/>
      </w:pPr>
      <w:r>
        <w:rPr/>
        <w:tab/>
        <w:t xml:space="preserve">On a second level, the phenomenological argument's core rests on the unity of the present. Alternatively, as Kant would put it, it rests on the instantaneous, spontaneous unity of apperception, that there is no distinguishable difference between the unifying of time and space in apperception and the thought. However, this unity is a precarious one. As Jacques Derrida writes in </w:t>
      </w:r>
      <w:r>
        <w:rPr>
          <w:i/>
          <w:iCs/>
        </w:rPr>
        <w:t>Speech and Phenomena,</w:t>
      </w:r>
    </w:p>
    <w:p>
      <w:pPr>
        <w:pStyle w:val="Normal"/>
        <w:bidi w:val="0"/>
        <w:spacing w:lineRule="auto" w:line="480"/>
        <w:ind w:hanging="0" w:start="709"/>
        <w:jc w:val="start"/>
        <w:rPr/>
      </w:pPr>
      <w:r>
        <w:rPr/>
        <w:t>“</w:t>
      </w:r>
      <w:r>
        <w:rPr/>
        <w:t>If the punctuality of the instant is a myth, a spatial or mechanical metaphor, an inherited metaphysical concept, or all that at once, and if the present of self-presence is not simple, if it is constituted in a primordial and irreducible synthesis, then the whole of Husserl's argumentation is threatened in its very principle.” (Derrida 61)</w:t>
      </w:r>
    </w:p>
    <w:p>
      <w:pPr>
        <w:pStyle w:val="Normal"/>
        <w:bidi w:val="0"/>
        <w:spacing w:lineRule="auto" w:line="480"/>
        <w:ind w:hanging="0" w:start="0"/>
        <w:jc w:val="start"/>
        <w:rPr/>
      </w:pPr>
      <w:r>
        <w:rPr/>
        <w:t>This threat would extend to all of phenomenology.</w:t>
      </w:r>
    </w:p>
    <w:p>
      <w:pPr>
        <w:pStyle w:val="Normal"/>
        <w:bidi w:val="0"/>
        <w:spacing w:lineRule="auto" w:line="480"/>
        <w:ind w:hanging="0" w:start="0"/>
        <w:jc w:val="start"/>
        <w:rPr/>
      </w:pPr>
      <w:r>
        <w:rPr/>
        <w:tab/>
        <w:t xml:space="preserve">As we have seen, Kant's paradox of the first paralogism is an irreducible synthesis and prevents a simple presentation of self-presence. For Kant, the 'I' will never be cognized as an object; it is always in retreat and never entirely in the moment. There is always a spontaneous 'I' 'outside' preceding the constitution of Being and the self. Thus, the 'I' is primordial to the I-object; they are not instantaneous experiences. Kant writes, "In order to make any judgment regarding it we must always already make use of [self] presentations." (A346/B404) Kant furthers this point when he writes, “self-consciousness which, because it produces the representation I think, which must be able to accompany all others and which in all consciousness is one and the same, cannot be accompanied by any further representation.” The self cannot be simultaneous with the representation of the self. There is a gap and rupture between the "I" and its object. Derrida captures the issue for Hegel, identifying in this dialectic dance the impossibility of any transcendental reduction to the self: </w:t>
      </w:r>
      <w:r>
        <w:rPr>
          <w:b w:val="false"/>
          <w:bCs w:val="false"/>
        </w:rPr>
        <w:t xml:space="preserve">“As soon as it is admitted that auto-affection is the condition for self-presence, no pure transcendental reduction is possible. But it was necessary to pass through the transcendental reduction in order to grasp this difference in what is closest to it." (Derrida 82) The ‘I’ is different than, and not part of the present, and so different from the dialectic of self. Phenomenology fails to account for the Kantian paradox of the 'I.' </w:t>
      </w:r>
    </w:p>
    <w:p>
      <w:pPr>
        <w:pStyle w:val="Normal"/>
        <w:bidi w:val="0"/>
        <w:spacing w:lineRule="auto" w:line="480"/>
        <w:ind w:hanging="0" w:start="0"/>
        <w:jc w:val="start"/>
        <w:rPr/>
      </w:pPr>
      <w:r>
        <w:rPr>
          <w:b w:val="false"/>
          <w:bCs w:val="false"/>
        </w:rPr>
        <w:tab/>
        <w:t>We have seen those who reject the paradox for being paradoxical (the analytic) and those who accept it and try to resolve it by synthesizing the action as presence (the phenomenological)—neither of these fits Kant's account from the first paralogism. Rather, the paralogisms</w:t>
      </w:r>
      <w:r>
        <w:rPr/>
        <w:t xml:space="preserve"> create a rupture in the history of philosophy and a rupture in our understanding of Kant.</w:t>
      </w:r>
    </w:p>
    <w:p>
      <w:pPr>
        <w:pStyle w:val="Normal"/>
        <w:bidi w:val="0"/>
        <w:spacing w:lineRule="auto" w:line="480"/>
        <w:jc w:val="start"/>
        <w:rPr/>
      </w:pPr>
      <w:r>
        <w:rPr/>
        <w:tab/>
        <w:t>This rupture, breaking the path, creates a new turn. With this new understanding of the problem and the space created, I would like to follow this turn, which requires a return, as we return to Kant. The final move in the first paralogism is a turn that has been missed because it is apophatic. Kant seeks to discuss something we cannot discuss and so to reason about the unreasonable. The function of the paradox in the first paralogism calls us to see beyond the limits of reason.</w:t>
      </w:r>
    </w:p>
    <w:p>
      <w:pPr>
        <w:pStyle w:val="Normal"/>
        <w:bidi w:val="0"/>
        <w:spacing w:lineRule="auto" w:line="480"/>
        <w:jc w:val="start"/>
        <w:rPr/>
      </w:pPr>
      <w:r>
        <w:rPr/>
        <w:tab/>
        <w:t xml:space="preserve">Kant hints at his apophatic turn throughout the </w:t>
      </w:r>
      <w:r>
        <w:rPr>
          <w:i/>
          <w:iCs/>
        </w:rPr>
        <w:t>Critique of Pure Reason</w:t>
      </w:r>
      <w:r>
        <w:rPr/>
        <w:t xml:space="preserve">, clarifying his intention without directly making it. In his introduction, he writes, "I had to deny knowledge in order to make room for faith" (Bxxx). This is one of his most quoted passages when trying to understand the paralogism. Kant, to keep faith in something beyond reason, denied knowledge. Many read this as if Kant is expressing a personal preference, choosing not to explore specific subjects to keep his faith. However, we could just as well read it as Kant identifying an empirical fact: to make room for faith in the miraculous or the observable effects of what is beyond reason, he denies that knowledge can explain everything.   </w:t>
      </w:r>
    </w:p>
    <w:p>
      <w:pPr>
        <w:pStyle w:val="Normal"/>
        <w:bidi w:val="0"/>
        <w:spacing w:lineRule="auto" w:line="480"/>
        <w:ind w:hanging="0" w:start="0"/>
        <w:jc w:val="start"/>
        <w:rPr/>
      </w:pPr>
      <w:r>
        <w:rPr/>
        <w:tab/>
        <w:t xml:space="preserve">Kant adopts an apophatic tone in his analysis of the first paralogism, asserting that reason (rational psychology) fails to understand the self. Kant stresses it will not, "… serve to teach us apodeictically with regards to thinking beings ... ." (A347/B406) The first paralogism offers non-apodeictic insights into our self-understanding, emphasizing that we cannot rely solely on reason to gain a definitive understanding of ourselves. He says this work is "very far from being a knowledge of the self" (B158). </w:t>
      </w:r>
    </w:p>
    <w:p>
      <w:pPr>
        <w:pStyle w:val="Normal"/>
        <w:bidi w:val="0"/>
        <w:spacing w:lineRule="auto" w:line="480"/>
        <w:ind w:hanging="0" w:start="0"/>
        <w:jc w:val="start"/>
        <w:rPr/>
      </w:pPr>
      <w:r>
        <w:rPr/>
        <w:tab/>
        <w:t>Kant seeks to express the self is not simply unknown, but the self is unknowable. We can see at the heart of the paradox some unknowable. Kant writes,  “In attaching ‘I’ to our thoughts, we designate the subject only transcendentally ... without noting in it any quality whatsoever—in fact, without knowing anything of it either directly or by inference” [A355]. We both attach to it and know it in our familiarity with it, but we have no familiarity with it. Kant sees this paradox as essential to understanding the self when he writes, “it is ... very evident that I cannot know as an object that which I must presuppose to know as any object ... .” (A402)</w:t>
      </w:r>
    </w:p>
    <w:p>
      <w:pPr>
        <w:pStyle w:val="Normal"/>
        <w:bidi w:val="0"/>
        <w:spacing w:lineRule="auto" w:line="480"/>
        <w:ind w:hanging="0" w:start="0"/>
        <w:jc w:val="start"/>
        <w:rPr/>
      </w:pPr>
      <w:r>
        <w:rPr/>
        <w:tab/>
        <w:t>This unknowable then is also transcendental, pointing beyond the human experience. Kant sees that this unknowable gives us access to the purely transcendental. He writes, “I am given to myself beyond that which is given in intuition.” (B155). Most critically, he represents this beyond and tries to point to it, again when he writes, “Now through this I or he or it (the thing) that things, nothing more is presented than a transcendental subject of thoughts = x.” (A346/B404) This x is the mathematical representation for the unknown. The x marks the spot but can never be solved.</w:t>
      </w:r>
    </w:p>
    <w:p>
      <w:pPr>
        <w:pStyle w:val="Normal"/>
        <w:bidi w:val="0"/>
        <w:spacing w:lineRule="auto" w:line="480"/>
        <w:ind w:hanging="0" w:start="0"/>
        <w:jc w:val="start"/>
        <w:rPr/>
      </w:pPr>
      <w:r>
        <w:rPr/>
        <w:tab/>
        <w:t xml:space="preserve">Thus, for Kant, we have an attempt to represent an unknown that is unknowable. In this text Kant is trying to reason his way to expressing something which cannot be reasoned or expressed. This is the self, the 'I,' as Kant wants us to understand it. Not as the predicate or the object but as a third 'I.' A third 'I' is not a transcendent synthesis, creating a center of knowledge in the form of self-knowledge as Hegel constructed it. Rather transcendent in that it is beyond the limits of reason, outside the domain of knowledge, and de-centering to logic. Philosophy has looked at the hand rather than where it pointed. This is a conclusion Luca Forgione writes in </w:t>
      </w:r>
      <w:r>
        <w:rPr>
          <w:i/>
          <w:iCs/>
        </w:rPr>
        <w:t>Kant and The Problem of Self-Knowledge,</w:t>
      </w:r>
    </w:p>
    <w:p>
      <w:pPr>
        <w:pStyle w:val="Normal"/>
        <w:bidi w:val="0"/>
        <w:spacing w:lineRule="auto" w:line="480"/>
        <w:ind w:hanging="0" w:start="709"/>
        <w:jc w:val="start"/>
        <w:rPr/>
      </w:pPr>
      <w:r>
        <w:rPr/>
        <w:t>“</w:t>
      </w:r>
      <w:r>
        <w:rPr/>
        <w:t>The concept of the transcendental subject can also be regarded as a sort of transcendental pointer; however, … Even though the I can be employed as a pointer to conceive of the difference between the representation and that which is represented, it cannot determine any experiential object.” (Problem 206-207)</w:t>
      </w:r>
    </w:p>
    <w:p>
      <w:pPr>
        <w:pStyle w:val="Normal"/>
        <w:bidi w:val="0"/>
        <w:spacing w:lineRule="auto" w:line="480"/>
        <w:ind w:hanging="0" w:start="0"/>
        <w:jc w:val="start"/>
        <w:rPr/>
      </w:pPr>
      <w:r>
        <w:rPr/>
        <w:tab/>
        <w:t xml:space="preserve"> When we reorient in the direction in which Kant is pointing and can be let in on knowing this unknowable self, we see that it is a trace that marks the location of a secret, of an unspoken self. Jacques Derrida writes of the self in </w:t>
      </w:r>
      <w:r>
        <w:rPr>
          <w:i/>
          <w:iCs/>
        </w:rPr>
        <w:t>Speech and Phenomena, “</w:t>
      </w:r>
      <w:r>
        <w:rPr/>
        <w:t xml:space="preserve">The living present springs forth out of its nonidentity with itself and from the possibility of a retentional trace. It is always already a trace. … Being-primordial must be thought on the basis of the trace, and not the reverse.” (Derrida 85) Here, in the heart of the paradox, a mark exists, which is a trace of what is beyond reason and knowledge. It is a trace which is more primordial than primordial. Derrida writes, "Such a trace is—if we can employ this language without immediately contradicting it or crossing it out as we proceed— more "primordial" than what is phenomenologically primordial.” (pg. 67) Kant echos this in the </w:t>
      </w:r>
      <w:r>
        <w:rPr>
          <w:i/>
          <w:iCs/>
        </w:rPr>
        <w:t>Opus Postumum</w:t>
      </w:r>
      <w:r>
        <w:rPr/>
        <w:t>. He sees the rejection of taking the 'I' in a double and that there exists a 'relation' on which he cannot put his figure. He writes,</w:t>
      </w:r>
    </w:p>
    <w:p>
      <w:pPr>
        <w:pStyle w:val="Normal"/>
        <w:bidi w:val="0"/>
        <w:spacing w:lineRule="auto" w:line="480"/>
        <w:ind w:hanging="0" w:start="709"/>
        <w:jc w:val="start"/>
        <w:rPr/>
      </w:pPr>
      <w:r>
        <w:rPr/>
        <w:t>“</w:t>
      </w:r>
      <w:r>
        <w:rPr/>
        <w:t>The first act of knowledge is the verb: I am,—self-consciousness, for I, [as] subject, am an object to myself. In this, however, there lies a relation which precedes all determination of the subject, namely, the relation of intuition to the concept, in which the I is taken doubly (that is, in a double meaning) insofar as I posit myself: …  as constituting myself a priori into a thing (that is, as thing in itself).” (Opus Postumum 22: 413, 179–80)</w:t>
      </w:r>
    </w:p>
    <w:p>
      <w:pPr>
        <w:pStyle w:val="Normal"/>
        <w:bidi w:val="0"/>
        <w:spacing w:lineRule="auto" w:line="480"/>
        <w:ind w:hanging="0" w:start="0"/>
        <w:jc w:val="start"/>
        <w:rPr/>
      </w:pPr>
      <w:r>
        <w:rPr/>
        <w:t>Kant echos, a mark of a self that precedes. But of course, how could Kant speak of it other than through an echo, a trace of something said? It is unknowable. Thus, the self is marked but unspoken. The third 'I' is a secret that cannot be spoken, for to articulate it would be to lose it to the predicate and object dynamic and to mistake it for the action, the blinding "am" in "I am." A secret we all know and yet cannot speak.</w:t>
      </w:r>
    </w:p>
    <w:p>
      <w:pPr>
        <w:pStyle w:val="Normal"/>
        <w:bidi w:val="0"/>
        <w:spacing w:lineRule="auto" w:line="480"/>
        <w:jc w:val="start"/>
        <w:rPr/>
      </w:pPr>
      <w:r>
        <w:rPr/>
        <w:tab/>
        <w:t>In seeking a rational explanation for Kant's paralogism and the history of philosophy, history moved forward following his Copernican turn. We have seen that, in doing so, Kant's apophatic turn was missed; he pointed away from the dance of the paradox, to the trace that it marked. This revolutionary reading of Kant can change the narrative around Kant’s work and show the need to expand this work into the other three paralogisms. Each offers greater clarity into the secret of self, especially the fourth, which Kant heavily changed for the second edition, exposing more from what was removed than was retained. The return does not just apply to the</w:t>
      </w:r>
      <w:r>
        <w:rPr>
          <w:i/>
          <w:iCs/>
        </w:rPr>
        <w:t xml:space="preserve"> Critique of Pure Reason</w:t>
      </w:r>
      <w:r>
        <w:rPr/>
        <w:t xml:space="preserve">; in Kant's more extensive oeuvre, we see him attempting to push beyond the limits of logic, for example, the sublime in the </w:t>
      </w:r>
      <w:r>
        <w:rPr>
          <w:i/>
          <w:iCs/>
        </w:rPr>
        <w:t>Critique of Judgement.</w:t>
      </w:r>
      <w:r>
        <w:rPr/>
        <w:t xml:space="preserve"> All of Kant's work can be returned to and reevaluated for the expertise with which he delineates the traces beyond the limits of metaphysics.</w:t>
      </w:r>
    </w:p>
    <w:p>
      <w:pPr>
        <w:pStyle w:val="Normal"/>
        <w:bidi w:val="0"/>
        <w:spacing w:lineRule="auto" w:line="480"/>
        <w:jc w:val="start"/>
        <w:rPr/>
      </w:pPr>
      <w:r>
        <w:rPr/>
      </w:r>
      <w:r>
        <w:br w:type="page"/>
      </w:r>
    </w:p>
    <w:p>
      <w:pPr>
        <w:pStyle w:val="Normal"/>
        <w:bidi w:val="0"/>
        <w:spacing w:lineRule="auto" w:line="480" w:before="0" w:after="0"/>
        <w:jc w:val="center"/>
        <w:rPr/>
      </w:pPr>
      <w:r>
        <w:rPr/>
        <w:t>Work Cited</w:t>
      </w:r>
    </w:p>
    <w:p>
      <w:pPr>
        <w:pStyle w:val="Normal"/>
        <w:bidi w:val="0"/>
        <w:spacing w:lineRule="auto" w:line="480"/>
        <w:ind w:hanging="0" w:start="0"/>
        <w:jc w:val="start"/>
        <w:rPr/>
      </w:pPr>
      <w:r>
        <w:rPr/>
        <w:t xml:space="preserve">Altman, Matthew C. </w:t>
      </w:r>
      <w:r>
        <w:rPr>
          <w:i/>
          <w:iCs/>
        </w:rPr>
        <w:t>A Companion to Kant’s Critique of Pure Reason</w:t>
      </w:r>
      <w:r>
        <w:rPr/>
        <w:t>. Westview Press, 2008</w:t>
      </w:r>
    </w:p>
    <w:p>
      <w:pPr>
        <w:pStyle w:val="Normal"/>
        <w:bidi w:val="0"/>
        <w:spacing w:lineRule="auto" w:line="480"/>
        <w:ind w:hanging="0" w:start="0"/>
        <w:jc w:val="start"/>
        <w:rPr/>
      </w:pPr>
      <w:r>
        <w:rPr/>
        <w:t>Ameriks, Karl. Kant’s Theory of Mind: An Analysis of the Paralogisms of Pure Reason. Oxford</w:t>
      </w:r>
    </w:p>
    <w:p>
      <w:pPr>
        <w:pStyle w:val="Normal"/>
        <w:bidi w:val="0"/>
        <w:spacing w:lineRule="auto" w:line="480"/>
        <w:ind w:hanging="0" w:start="0"/>
        <w:jc w:val="start"/>
        <w:rPr/>
      </w:pPr>
      <w:r>
        <w:rPr/>
        <w:tab/>
        <w:t>University Press, 2000.</w:t>
      </w:r>
    </w:p>
    <w:p>
      <w:pPr>
        <w:pStyle w:val="Normal"/>
        <w:bidi w:val="0"/>
        <w:spacing w:lineRule="auto" w:line="480"/>
        <w:ind w:hanging="0" w:start="0"/>
        <w:jc w:val="start"/>
        <w:rPr/>
      </w:pPr>
      <w:r>
        <w:rPr/>
        <w:t xml:space="preserve">Derrida, Jacques. </w:t>
      </w:r>
      <w:r>
        <w:rPr>
          <w:i/>
          <w:iCs/>
        </w:rPr>
        <w:t xml:space="preserve">Speech and Phenomena: Introduction to the Problem of Signs in Husserl’s </w:t>
        <w:tab/>
        <w:t>Phenomenology</w:t>
      </w:r>
      <w:r>
        <w:rPr/>
        <w:t>. Trans. David B Allison. Northwest University Press, 1973.</w:t>
      </w:r>
    </w:p>
    <w:p>
      <w:pPr>
        <w:pStyle w:val="Normal"/>
        <w:bidi w:val="0"/>
        <w:spacing w:lineRule="auto" w:line="480"/>
        <w:ind w:hanging="0" w:start="0"/>
        <w:jc w:val="start"/>
        <w:rPr/>
      </w:pPr>
      <w:r>
        <w:rPr/>
        <w:t xml:space="preserve">Forgione, Luca. </w:t>
      </w:r>
      <w:r>
        <w:rPr>
          <w:i/>
          <w:iCs/>
        </w:rPr>
        <w:t>Kant and The Problem of Self-Knowledge</w:t>
      </w:r>
      <w:r>
        <w:rPr/>
        <w:t>. Taylor &amp; Francis, 2018.</w:t>
      </w:r>
    </w:p>
    <w:p>
      <w:pPr>
        <w:pStyle w:val="Normal"/>
        <w:bidi w:val="0"/>
        <w:spacing w:lineRule="auto" w:line="480"/>
        <w:jc w:val="start"/>
        <w:rPr/>
      </w:pPr>
      <w:r>
        <w:rPr>
          <w:b w:val="false"/>
          <w:bCs w:val="false"/>
        </w:rPr>
        <w:t xml:space="preserve">Hegel, G. W. F. </w:t>
      </w:r>
      <w:r>
        <w:rPr>
          <w:b w:val="false"/>
          <w:bCs w:val="false"/>
          <w:i/>
          <w:iCs/>
        </w:rPr>
        <w:t>Phenomenology of Spirit,</w:t>
      </w:r>
      <w:r>
        <w:rPr>
          <w:b w:val="false"/>
          <w:bCs w:val="false"/>
        </w:rPr>
        <w:t xml:space="preserve"> trans. A. V. Miller. Oxford University Press, 1977.</w:t>
      </w:r>
    </w:p>
    <w:p>
      <w:pPr>
        <w:pStyle w:val="Normal"/>
        <w:bidi w:val="0"/>
        <w:spacing w:lineRule="auto" w:line="480"/>
        <w:jc w:val="start"/>
        <w:rPr/>
      </w:pPr>
      <w:r>
        <w:rPr>
          <w:b w:val="false"/>
          <w:bCs w:val="false"/>
        </w:rPr>
        <w:t xml:space="preserve">Kant, Immanuel. </w:t>
      </w:r>
      <w:r>
        <w:rPr>
          <w:b w:val="false"/>
          <w:bCs w:val="false"/>
          <w:i/>
          <w:iCs/>
        </w:rPr>
        <w:t>Critique of Pure Reason,</w:t>
      </w:r>
      <w:r>
        <w:rPr>
          <w:b w:val="false"/>
          <w:bCs w:val="false"/>
        </w:rPr>
        <w:t xml:space="preserve"> trans. Werner S. Pluhar. Hackett Pub, 1996.</w:t>
      </w:r>
    </w:p>
    <w:p>
      <w:pPr>
        <w:pStyle w:val="Normal"/>
        <w:bidi w:val="0"/>
        <w:spacing w:lineRule="auto" w:line="480"/>
        <w:jc w:val="start"/>
        <w:rPr/>
      </w:pPr>
      <w:r>
        <w:rPr>
          <w:b w:val="false"/>
          <w:bCs w:val="false"/>
        </w:rPr>
        <w:t xml:space="preserve">Kant, Immanuel. </w:t>
      </w:r>
      <w:r>
        <w:rPr>
          <w:b w:val="false"/>
          <w:bCs w:val="false"/>
          <w:i/>
          <w:iCs/>
        </w:rPr>
        <w:t>Opus Postumum</w:t>
      </w:r>
      <w:r>
        <w:rPr>
          <w:b w:val="false"/>
          <w:bCs w:val="false"/>
        </w:rPr>
        <w:t xml:space="preserve"> , ed. and trans. E. Forster and M. Rosen. Cambridge </w:t>
        <w:tab/>
        <w:t>University Press, 1993.</w:t>
      </w:r>
    </w:p>
    <w:p>
      <w:pPr>
        <w:pStyle w:val="Normal"/>
        <w:bidi w:val="0"/>
        <w:spacing w:lineRule="auto" w:line="480"/>
        <w:jc w:val="start"/>
        <w:rPr/>
      </w:pPr>
      <w:r>
        <w:rPr>
          <w:b w:val="false"/>
          <w:bCs w:val="false"/>
        </w:rPr>
        <w:t xml:space="preserve">Pippin, Robert, 1987. “Kant on the spontaneity of mind”, </w:t>
      </w:r>
      <w:r>
        <w:rPr>
          <w:b w:val="false"/>
          <w:bCs w:val="false"/>
          <w:i/>
          <w:iCs/>
        </w:rPr>
        <w:t>Canadian Journal of</w:t>
      </w:r>
    </w:p>
    <w:p>
      <w:pPr>
        <w:pStyle w:val="Normal"/>
        <w:bidi w:val="0"/>
        <w:spacing w:lineRule="auto" w:line="480"/>
        <w:jc w:val="start"/>
        <w:rPr/>
      </w:pPr>
      <w:r>
        <w:rPr>
          <w:b w:val="false"/>
          <w:bCs w:val="false"/>
          <w:i/>
          <w:iCs/>
        </w:rPr>
        <w:tab/>
        <w:t>Philosophy</w:t>
      </w:r>
      <w:r>
        <w:rPr>
          <w:b w:val="false"/>
          <w:bCs w:val="false"/>
        </w:rPr>
        <w:t>, 17: 449–476.</w:t>
      </w:r>
    </w:p>
    <w:p>
      <w:pPr>
        <w:pStyle w:val="Normal"/>
        <w:bidi w:val="0"/>
        <w:spacing w:lineRule="auto" w:line="480"/>
        <w:jc w:val="start"/>
        <w:rPr/>
      </w:pPr>
      <w:r>
        <w:rPr>
          <w:b w:val="false"/>
          <w:bCs w:val="false"/>
        </w:rPr>
        <w:t>Sellars, W., 1970. “...this I or he or it (the thing) which thinks...”, P</w:t>
      </w:r>
      <w:r>
        <w:rPr>
          <w:b w:val="false"/>
          <w:bCs w:val="false"/>
          <w:i/>
          <w:iCs/>
        </w:rPr>
        <w:t xml:space="preserve">roceedings of the American </w:t>
        <w:tab/>
        <w:t>Philosophical Association</w:t>
      </w:r>
      <w:r>
        <w:rPr>
          <w:b w:val="false"/>
          <w:bCs w:val="false"/>
        </w:rPr>
        <w:t>, 44: 5–31.</w:t>
      </w:r>
    </w:p>
    <w:p>
      <w:pPr>
        <w:pStyle w:val="Normal"/>
        <w:bidi w:val="0"/>
        <w:spacing w:lineRule="auto" w:line="480"/>
        <w:jc w:val="start"/>
        <w:rPr/>
      </w:pPr>
      <w:r>
        <w:rPr>
          <w:b w:val="false"/>
          <w:bCs w:val="false"/>
        </w:rPr>
        <w:t xml:space="preserve">Stang, Nicholas F., "Kant’s Transcendental Idealism", </w:t>
      </w:r>
      <w:r>
        <w:rPr>
          <w:b w:val="false"/>
          <w:bCs w:val="false"/>
          <w:i/>
          <w:iCs/>
        </w:rPr>
        <w:t>The Stanford Encyclopedia of Philosophy</w:t>
      </w:r>
      <w:r>
        <w:rPr>
          <w:b w:val="false"/>
          <w:bCs w:val="false"/>
        </w:rPr>
        <w:t xml:space="preserve"> </w:t>
        <w:tab/>
        <w:t>(Winter 2023 Edition), eds. Edward N. Zalta &amp; Uri Nodelman,</w:t>
      </w:r>
    </w:p>
    <w:sectPr>
      <w:headerReference w:type="default" r:id="rId2"/>
      <w:type w:val="nextPage"/>
      <w:pgSz w:w="12240" w:h="15840"/>
      <w:pgMar w:left="1440" w:right="1440" w:gutter="0" w:header="1440" w:top="1497" w:footer="0" w:bottom="144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erif">
    <w:altName w:val="Times New Roman"/>
    <w:charset w:val="01" w:characterSet="utf-8"/>
    <w:family w:val="swiss"/>
    <w:pitch w:val="variable"/>
  </w:font>
  <w:font w:name="Liberation Sans">
    <w:altName w:val="Arial"/>
    <w:charset w:val="01" w:characterSet="utf-8"/>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jc w:val="end"/>
      <w:rPr/>
    </w:pPr>
    <w:r>
      <w:rPr/>
      <w:t xml:space="preserve">Haven </w:t>
    </w:r>
    <w:r>
      <w:rPr/>
      <w:fldChar w:fldCharType="begin"/>
    </w:r>
    <w:r>
      <w:rPr/>
      <w:instrText xml:space="preserve"> PAGE </w:instrText>
    </w:r>
    <w:r>
      <w:rPr/>
      <w:fldChar w:fldCharType="separate"/>
    </w:r>
    <w:r>
      <w:rPr/>
      <w:t>13</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oto Serif CJK SC" w:cs="Noto Sans Devanagari"/>
      <w:color w:val="auto"/>
      <w:kern w:val="2"/>
      <w:sz w:val="24"/>
      <w:szCs w:val="24"/>
      <w:lang w:val="en-US" w:eastAsia="zh-CN" w:bidi="hi-IN"/>
    </w:rPr>
  </w:style>
  <w:style w:type="paragraph" w:styleId="Heading3">
    <w:name w:val="Heading 3"/>
    <w:basedOn w:val="Heading"/>
    <w:qFormat/>
    <w:pPr>
      <w:numPr>
        <w:ilvl w:val="2"/>
        <w:numId w:val="1"/>
      </w:numPr>
      <w:spacing w:before="140" w:after="120"/>
      <w:outlineLvl w:val="2"/>
    </w:pPr>
    <w:rPr>
      <w:rFonts w:ascii="Liberation Serif" w:hAnsi="Liberation Serif" w:eastAsia="Noto Serif CJK SC" w:cs="Noto Sans Devanagari"/>
      <w:b/>
      <w:bCs/>
      <w:sz w:val="28"/>
      <w:szCs w:val="28"/>
    </w:rPr>
  </w:style>
  <w:style w:type="character" w:styleId="DefaultParagraphFont">
    <w:name w:val="Default Paragraph Font"/>
    <w:qFormat/>
    <w:rPr/>
  </w:style>
  <w:style w:type="character" w:styleId="Hyperlink">
    <w:name w:val="Hyperlink"/>
    <w:rPr>
      <w:color w:val="000080"/>
      <w:u w:val="single"/>
    </w:rPr>
  </w:style>
  <w:style w:type="character" w:styleId="List1Level0">
    <w:name w:val="List1Level0"/>
    <w:qFormat/>
    <w:rPr/>
  </w:style>
  <w:style w:type="character" w:styleId="List1Level1">
    <w:name w:val="List1Level1"/>
    <w:qFormat/>
    <w:rPr/>
  </w:style>
  <w:style w:type="character" w:styleId="List1Level2">
    <w:name w:val="List1Level2"/>
    <w:qFormat/>
    <w:rPr/>
  </w:style>
  <w:style w:type="character" w:styleId="List1Level3">
    <w:name w:val="List1Level3"/>
    <w:qFormat/>
    <w:rPr/>
  </w:style>
  <w:style w:type="character" w:styleId="List1Level4">
    <w:name w:val="List1Level4"/>
    <w:qFormat/>
    <w:rPr/>
  </w:style>
  <w:style w:type="character" w:styleId="List1Level5">
    <w:name w:val="List1Level5"/>
    <w:qFormat/>
    <w:rPr/>
  </w:style>
  <w:style w:type="character" w:styleId="List1Level6">
    <w:name w:val="List1Level6"/>
    <w:qFormat/>
    <w:rPr/>
  </w:style>
  <w:style w:type="character" w:styleId="List1Level7">
    <w:name w:val="List1Level7"/>
    <w:qFormat/>
    <w:rPr/>
  </w:style>
  <w:style w:type="character" w:styleId="List1Level8">
    <w:name w:val="List1Level8"/>
    <w:qFormat/>
    <w:rPr/>
  </w:style>
  <w:style w:type="character" w:styleId="List2Level0">
    <w:name w:val="List2Level0"/>
    <w:qFormat/>
    <w:rPr/>
  </w:style>
  <w:style w:type="character" w:styleId="List2Level1">
    <w:name w:val="List2Level1"/>
    <w:qFormat/>
    <w:rPr/>
  </w:style>
  <w:style w:type="character" w:styleId="List2Level2">
    <w:name w:val="List2Level2"/>
    <w:qFormat/>
    <w:rPr/>
  </w:style>
  <w:style w:type="character" w:styleId="List2Level3">
    <w:name w:val="List2Level3"/>
    <w:qFormat/>
    <w:rPr/>
  </w:style>
  <w:style w:type="character" w:styleId="List2Level4">
    <w:name w:val="List2Level4"/>
    <w:qFormat/>
    <w:rPr/>
  </w:style>
  <w:style w:type="character" w:styleId="List2Level5">
    <w:name w:val="List2Level5"/>
    <w:qFormat/>
    <w:rPr/>
  </w:style>
  <w:style w:type="character" w:styleId="List2Level6">
    <w:name w:val="List2Level6"/>
    <w:qFormat/>
    <w:rPr/>
  </w:style>
  <w:style w:type="character" w:styleId="List2Level7">
    <w:name w:val="List2Level7"/>
    <w:qFormat/>
    <w:rPr/>
  </w:style>
  <w:style w:type="character" w:styleId="List2Level8">
    <w:name w:val="List2Level8"/>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pacing w:before="120" w:after="120"/>
    </w:pPr>
    <w:rPr>
      <w:rFonts w:cs="Noto Sans Devanagari"/>
      <w:i/>
      <w:iCs/>
      <w:sz w:val="24"/>
      <w:szCs w:val="24"/>
    </w:rPr>
  </w:style>
  <w:style w:type="paragraph" w:styleId="Index">
    <w:name w:val="Index"/>
    <w:basedOn w:val="Normal"/>
    <w:qFormat/>
    <w:pPr/>
    <w:rPr>
      <w:rFonts w:cs="Noto Sans Devanagari"/>
    </w:rPr>
  </w:style>
  <w:style w:type="paragraph" w:styleId="Normal1">
    <w:name w:val="Normal1"/>
    <w:qFormat/>
    <w:pPr>
      <w:widowControl/>
      <w:suppressAutoHyphens w:val="true"/>
      <w:overflowPunct w:val="false"/>
      <w:bidi w:val="0"/>
      <w:spacing w:before="0" w:after="0"/>
      <w:jc w:val="start"/>
    </w:pPr>
    <w:rPr>
      <w:rFonts w:ascii="Liberation Serif" w:hAnsi="Liberation Serif" w:eastAsia="Noto Serif CJK SC" w:cs="Noto Sans Devanagari"/>
      <w:color w:val="auto"/>
      <w:kern w:val="2"/>
      <w:sz w:val="24"/>
      <w:szCs w:val="24"/>
      <w:lang w:val="en-US" w:eastAsia="zh-CN" w:bidi="hi-IN"/>
    </w:rPr>
  </w:style>
  <w:style w:type="paragraph" w:styleId="HeaderandFooter">
    <w:name w:val="Header and Footer"/>
    <w:basedOn w:val="Normal"/>
    <w:qFormat/>
    <w:pPr>
      <w:tabs>
        <w:tab w:val="clear" w:pos="709"/>
        <w:tab w:val="center" w:pos="4680" w:leader="none"/>
        <w:tab w:val="right" w:pos="9360" w:leader="none"/>
      </w:tabs>
    </w:pPr>
    <w:rPr/>
  </w:style>
  <w:style w:type="paragraph" w:styleId="Header">
    <w:name w:val="Header"/>
    <w:basedOn w:val="HeaderandFooter"/>
    <w:pPr/>
    <w:rPr/>
  </w:style>
  <w:style w:type="numbering" w:styleId="LS1">
    <w:name w:val="LS1"/>
    <w:qFormat/>
  </w:style>
  <w:style w:type="numbering" w:styleId="LS2">
    <w:name w:val="LS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736</TotalTime>
  <Application>LibreOffice/7.6.7.2$Linux_X86_64 LibreOffice_project/60$Build-2</Application>
  <AppVersion>15.0000</AppVersion>
  <Pages>13</Pages>
  <Words>3992</Words>
  <Characters>19852</Characters>
  <CharactersWithSpaces>23824</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2024-04-15T15:55:17Z</dcterms:created>
  <dc:creator/>
  <dc:description/>
  <dc:language>en-US</dc:language>
  <cp:lastModifiedBy/>
  <dcterms:modified xsi:type="dcterms:W3CDTF">2024-06-05T10:47:05Z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file>